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89AA784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6E1D646" w14:textId="3A3FE0F6"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6C6AF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502A92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502A92" w:rsidRPr="00D04AA1">
        <w:rPr>
          <w:rFonts w:ascii="Arial" w:hAnsi="Arial" w:cs="Arial"/>
          <w:b/>
          <w:bCs/>
          <w:color w:val="FFFFFF"/>
          <w:sz w:val="32"/>
          <w:szCs w:val="32"/>
        </w:rPr>
        <w:t>ESF</w:t>
      </w:r>
      <w:r w:rsidR="00BB44BD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="00BB44BD" w:rsidRPr="00D04AA1">
        <w:rPr>
          <w:rFonts w:ascii="Arial" w:hAnsi="Arial" w:cs="Arial"/>
          <w:b/>
          <w:bCs/>
          <w:color w:val="FFFFFF"/>
          <w:sz w:val="32"/>
          <w:szCs w:val="32"/>
        </w:rPr>
        <w:t>(IS ESF 2014+)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D04AA1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369130</w:t>
      </w:r>
    </w:p>
    <w:p w14:paraId="76E1D64A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6E1D64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76E1D64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6E1D64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6E1D650" w14:textId="2A3CAE9C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6E1D651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76E1D652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4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61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19468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B26449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61569" w14:textId="7B4A2476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62849">
        <w:rPr>
          <w:rFonts w:ascii="Arial" w:hAnsi="Arial" w:cs="Arial"/>
          <w:b/>
          <w:sz w:val="26"/>
          <w:szCs w:val="26"/>
        </w:rPr>
        <w:t>3</w:t>
      </w:r>
    </w:p>
    <w:p w14:paraId="025E7667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CE3BF50" w14:textId="6665ADA3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a </w:t>
      </w:r>
      <w:r w:rsidR="00DF5417">
        <w:rPr>
          <w:rFonts w:ascii="Arial" w:hAnsi="Arial" w:cs="Arial"/>
          <w:sz w:val="20"/>
          <w:szCs w:val="20"/>
        </w:rPr>
        <w:t xml:space="preserve">4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F437D" w14:textId="6407245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483D141C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ACF76" w14:textId="77777777" w:rsidR="00A31705" w:rsidRPr="00A31705" w:rsidRDefault="00A31705" w:rsidP="00A31705">
      <w:pPr>
        <w:spacing w:line="320" w:lineRule="atLeast"/>
        <w:jc w:val="both"/>
        <w:rPr>
          <w:rFonts w:ascii="Calibri" w:hAnsi="Calibri"/>
          <w:sz w:val="22"/>
          <w:szCs w:val="22"/>
          <w:lang w:eastAsia="x-none"/>
        </w:rPr>
      </w:pPr>
    </w:p>
    <w:p w14:paraId="4964C4F5" w14:textId="77777777"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  <w:lang w:eastAsia="x-none"/>
        </w:rPr>
        <w:lastRenderedPageBreak/>
        <w:t>MPSV</w:t>
      </w:r>
      <w:r w:rsidRPr="00A31705">
        <w:rPr>
          <w:rFonts w:ascii="Arial" w:hAnsi="Arial" w:cs="Arial"/>
          <w:sz w:val="20"/>
          <w:szCs w:val="20"/>
          <w:lang w:eastAsia="x-none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  <w:lang w:eastAsia="x-none"/>
        </w:rPr>
        <w:t>,</w:t>
      </w:r>
      <w:r w:rsidR="00307CCF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62849">
        <w:rPr>
          <w:rFonts w:ascii="Arial" w:hAnsi="Arial" w:cs="Arial"/>
          <w:sz w:val="20"/>
          <w:szCs w:val="20"/>
          <w:lang w:eastAsia="x-none"/>
        </w:rPr>
        <w:t xml:space="preserve">obdržel dne 21. 2. 2014 </w:t>
      </w:r>
      <w:r w:rsidR="00262849" w:rsidRPr="00A31705">
        <w:rPr>
          <w:rFonts w:ascii="Arial" w:hAnsi="Arial" w:cs="Arial"/>
          <w:sz w:val="20"/>
          <w:szCs w:val="20"/>
          <w:lang w:val="x-none" w:eastAsia="x-none"/>
        </w:rPr>
        <w:t>žádost o dodatečné informace k zadávacím podmínkám</w:t>
      </w:r>
      <w:r w:rsidR="00262849" w:rsidRPr="00A31705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39E4C6A4" w14:textId="0A88CA9E"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Na níže </w:t>
      </w:r>
      <w:r w:rsidR="007C1C5F">
        <w:rPr>
          <w:rFonts w:ascii="Arial" w:hAnsi="Arial" w:cs="Arial"/>
          <w:sz w:val="20"/>
          <w:szCs w:val="20"/>
          <w:lang w:eastAsia="x-none"/>
        </w:rPr>
        <w:t xml:space="preserve">uvedené </w:t>
      </w:r>
      <w:r>
        <w:rPr>
          <w:rFonts w:ascii="Arial" w:hAnsi="Arial" w:cs="Arial"/>
          <w:sz w:val="20"/>
          <w:szCs w:val="20"/>
          <w:lang w:eastAsia="x-none"/>
        </w:rPr>
        <w:t>dotazy</w:t>
      </w:r>
      <w:r w:rsidRPr="00A31705">
        <w:rPr>
          <w:rFonts w:ascii="Arial" w:hAnsi="Arial" w:cs="Arial"/>
          <w:sz w:val="20"/>
          <w:szCs w:val="20"/>
          <w:lang w:eastAsia="x-none"/>
        </w:rPr>
        <w:t xml:space="preserve"> poskytuje zadavatel následující </w:t>
      </w:r>
      <w:r>
        <w:rPr>
          <w:rFonts w:ascii="Arial" w:hAnsi="Arial" w:cs="Arial"/>
          <w:sz w:val="20"/>
          <w:szCs w:val="20"/>
          <w:lang w:eastAsia="x-none"/>
        </w:rPr>
        <w:t>odpovědi:</w:t>
      </w:r>
    </w:p>
    <w:p w14:paraId="17251571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14:paraId="42BEDEB8" w14:textId="362D7891" w:rsidR="00262849" w:rsidRPr="0026284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5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258BD9FC" w14:textId="6D59BE98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>Jaký bude počet interních uživatelů poptávaného IS v rámci MPSV?</w:t>
      </w:r>
    </w:p>
    <w:p w14:paraId="65C34045" w14:textId="2F73044D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356AEADA" w14:textId="22BB20A0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Zadavatel k dotazu uvádí, že v</w:t>
      </w:r>
      <w:r w:rsidRPr="00262849">
        <w:rPr>
          <w:rFonts w:ascii="Arial" w:hAnsi="Arial" w:cs="Arial"/>
          <w:sz w:val="20"/>
          <w:szCs w:val="20"/>
          <w:lang w:eastAsia="x-none"/>
        </w:rPr>
        <w:t xml:space="preserve"> rámci MPSV lze předpokládat v řádu desítek interních uživatelů řešení.</w:t>
      </w:r>
    </w:p>
    <w:p w14:paraId="61C08310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64B7E12B" w14:textId="198290CE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6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5ED668DB" w14:textId="7B6493B5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 xml:space="preserve">Jaký bude počet </w:t>
      </w: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autentifikovaných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 xml:space="preserve"> uživatelů ze státní správy mimo MPSV?</w:t>
      </w:r>
    </w:p>
    <w:p w14:paraId="7D4612A6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3D7E2F82" w14:textId="34EA5C08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 xml:space="preserve">Počet autentizovaných uživatelů řešení z dalších institucí státní správy lze předpokládat srovnatelný, jako v případě uživatelů z MPSV. </w:t>
      </w:r>
      <w:r w:rsidR="00EE2F5C">
        <w:rPr>
          <w:rFonts w:ascii="Arial" w:hAnsi="Arial" w:cs="Arial"/>
          <w:sz w:val="20"/>
          <w:szCs w:val="20"/>
          <w:lang w:eastAsia="x-none"/>
        </w:rPr>
        <w:t xml:space="preserve">Zadavatel tedy uvádí, že se jedná </w:t>
      </w:r>
      <w:r w:rsidRPr="00262849">
        <w:rPr>
          <w:rFonts w:ascii="Arial" w:hAnsi="Arial" w:cs="Arial"/>
          <w:sz w:val="20"/>
          <w:szCs w:val="20"/>
          <w:lang w:eastAsia="x-none"/>
        </w:rPr>
        <w:t>o desítky uživatelů.</w:t>
      </w:r>
    </w:p>
    <w:p w14:paraId="40F9F139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577A2438" w14:textId="2776965A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7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01DB0B41" w14:textId="2C4F309A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 xml:space="preserve">Jaký bude počet </w:t>
      </w: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autentifikovaných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 xml:space="preserve"> uživatelů mimo státní správu?</w:t>
      </w:r>
    </w:p>
    <w:p w14:paraId="03CC6931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0B72CAF2" w14:textId="2F394696" w:rsidR="00262849" w:rsidRPr="00262849" w:rsidRDefault="00D2006B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Z</w:t>
      </w:r>
      <w:r w:rsidR="00EE2F5C">
        <w:rPr>
          <w:rFonts w:ascii="Arial" w:hAnsi="Arial" w:cs="Arial"/>
          <w:sz w:val="20"/>
          <w:szCs w:val="20"/>
          <w:lang w:eastAsia="x-none"/>
        </w:rPr>
        <w:t>adavatel poukazuje na p</w:t>
      </w:r>
      <w:r w:rsidR="00262849" w:rsidRPr="00262849">
        <w:rPr>
          <w:rFonts w:ascii="Arial" w:hAnsi="Arial" w:cs="Arial"/>
          <w:sz w:val="20"/>
          <w:szCs w:val="20"/>
          <w:lang w:eastAsia="x-none"/>
        </w:rPr>
        <w:t>očet uživatelů uvedený v příloze č. 6 zadávací dokumentace, v kapitole „</w:t>
      </w:r>
      <w:r w:rsidR="00262849" w:rsidRPr="000F29BC">
        <w:rPr>
          <w:rFonts w:ascii="Arial" w:hAnsi="Arial" w:cs="Arial"/>
          <w:i/>
          <w:sz w:val="20"/>
          <w:szCs w:val="20"/>
          <w:lang w:eastAsia="x-none"/>
        </w:rPr>
        <w:t>9.2 Požadovaná kapacita řešení</w:t>
      </w:r>
      <w:r w:rsidR="00262849" w:rsidRPr="00262849">
        <w:rPr>
          <w:rFonts w:ascii="Arial" w:hAnsi="Arial" w:cs="Arial"/>
          <w:sz w:val="20"/>
          <w:szCs w:val="20"/>
          <w:lang w:eastAsia="x-none"/>
        </w:rPr>
        <w:t xml:space="preserve">“. Počet autentizovaných uživatelů je přímo závislý na počtu evidovaných projektů. Předpokládaný počet projektů řešených v rámci Operačního programu Zaměstnanost v programovém období 2014 – 2020 je 18.000. </w:t>
      </w:r>
      <w:r w:rsidR="00EE2F5C">
        <w:rPr>
          <w:rFonts w:ascii="Arial" w:hAnsi="Arial" w:cs="Arial"/>
          <w:sz w:val="20"/>
          <w:szCs w:val="20"/>
          <w:lang w:eastAsia="x-none"/>
        </w:rPr>
        <w:t>Zadavatel však upozorňuje, že j</w:t>
      </w:r>
      <w:r w:rsidR="00262849" w:rsidRPr="00262849">
        <w:rPr>
          <w:rFonts w:ascii="Arial" w:hAnsi="Arial" w:cs="Arial"/>
          <w:sz w:val="20"/>
          <w:szCs w:val="20"/>
          <w:lang w:eastAsia="x-none"/>
        </w:rPr>
        <w:t>e nezbytné předpokládat, že za každý evidovaný projekt, bude v systému registrovaný alespoň jeden uživatel mimo státní správu.</w:t>
      </w:r>
    </w:p>
    <w:p w14:paraId="2CF6226C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14:paraId="7717854E" w14:textId="3594EA88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8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3F8B67A6" w14:textId="724147C8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>Jaký bude předpokládaný počet anonymních uživatelů?</w:t>
      </w:r>
    </w:p>
    <w:p w14:paraId="5C61F7A5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7413CDCF" w14:textId="4355BF1C" w:rsidR="00262849" w:rsidRPr="00262849" w:rsidRDefault="002529A4" w:rsidP="000F29BC">
      <w:pPr>
        <w:autoSpaceDE w:val="0"/>
        <w:autoSpaceDN w:val="0"/>
        <w:adjustRightInd w:val="0"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dotazu uchazeče zadavatel poukazuje na odpověď na dotaz č. 1 uvedenou v dodatečných informacích č. 1 ze dne 14. 2. 2014 a uvádí, že p</w:t>
      </w:r>
      <w:r w:rsidR="00262849" w:rsidRPr="00262849">
        <w:rPr>
          <w:rFonts w:ascii="Arial" w:hAnsi="Arial" w:cs="Arial"/>
          <w:sz w:val="20"/>
          <w:szCs w:val="20"/>
        </w:rPr>
        <w:t>ro základní orientaci jsou k dispozici statistiky návštěvnosti stávajícího portálu ESFCR.cz za rok 2012 (a 2013):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27" w:type="dxa"/>
          <w:bottom w:w="227" w:type="dxa"/>
        </w:tblCellMar>
        <w:tblLook w:val="04A0" w:firstRow="1" w:lastRow="0" w:firstColumn="1" w:lastColumn="0" w:noHBand="0" w:noVBand="1"/>
      </w:tblPr>
      <w:tblGrid>
        <w:gridCol w:w="3368"/>
        <w:gridCol w:w="2095"/>
        <w:gridCol w:w="2118"/>
        <w:gridCol w:w="1707"/>
      </w:tblGrid>
      <w:tr w:rsidR="00262849" w:rsidRPr="00262849" w14:paraId="5D073E59" w14:textId="77777777" w:rsidTr="00262849">
        <w:trPr>
          <w:jc w:val="center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0833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677D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www.esfcr.cz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13E2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esfdb.esfcr.cz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871D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 xml:space="preserve">forum.esfcr.cz (od 1. 5. 2013 – </w:t>
            </w:r>
            <w:r w:rsidRPr="00262849">
              <w:rPr>
                <w:rFonts w:ascii="Arial" w:hAnsi="Arial" w:cs="Arial"/>
                <w:sz w:val="20"/>
                <w:szCs w:val="20"/>
              </w:rPr>
              <w:lastRenderedPageBreak/>
              <w:t>31. 12. 2013)</w:t>
            </w:r>
          </w:p>
        </w:tc>
      </w:tr>
      <w:tr w:rsidR="00262849" w:rsidRPr="00262849" w14:paraId="6F236050" w14:textId="77777777" w:rsidTr="00262849">
        <w:trPr>
          <w:jc w:val="center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BBDD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lastRenderedPageBreak/>
              <w:t>Počet unikátních návštěvníků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FDD3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320.658 (338.029)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8144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9.489 (13.708)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B9B0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3.260</w:t>
            </w:r>
          </w:p>
        </w:tc>
      </w:tr>
      <w:tr w:rsidR="00262849" w:rsidRPr="00262849" w14:paraId="06F98680" w14:textId="77777777" w:rsidTr="00262849">
        <w:trPr>
          <w:jc w:val="center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D2ED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Počet návštěv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9D4C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851.301 (863.096)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4639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16.761 (31.953)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DBD6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16.407</w:t>
            </w:r>
          </w:p>
        </w:tc>
      </w:tr>
      <w:tr w:rsidR="00262849" w:rsidRPr="00262849" w14:paraId="336319CF" w14:textId="77777777" w:rsidTr="00262849">
        <w:trPr>
          <w:jc w:val="center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8364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Počet zobrazených stránek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5138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4.289.390 (3.951.278)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AC88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171.116 (320.973)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1B96A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276.429</w:t>
            </w:r>
          </w:p>
        </w:tc>
      </w:tr>
      <w:tr w:rsidR="00262849" w:rsidRPr="00262849" w14:paraId="57938D07" w14:textId="77777777" w:rsidTr="00262849">
        <w:trPr>
          <w:jc w:val="center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1EF3D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Průměrný měsíční objem zobrazených dat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FD95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100 GB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411E0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3,5 GB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8290" w14:textId="77777777" w:rsidR="00262849" w:rsidRPr="00262849" w:rsidRDefault="00262849" w:rsidP="00262849">
            <w:pPr>
              <w:spacing w:before="120" w:after="120"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849">
              <w:rPr>
                <w:rFonts w:ascii="Arial" w:hAnsi="Arial" w:cs="Arial"/>
                <w:sz w:val="20"/>
                <w:szCs w:val="20"/>
              </w:rPr>
              <w:t>----- (údaj aktuálně není dostupný)</w:t>
            </w:r>
          </w:p>
        </w:tc>
      </w:tr>
    </w:tbl>
    <w:p w14:paraId="388AF496" w14:textId="4B916E1D" w:rsidR="00262849" w:rsidRPr="00262849" w:rsidRDefault="002529A4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</w:rPr>
        <w:t>Zadavatel dále upřesňuje, že n</w:t>
      </w:r>
      <w:r w:rsidR="00262849" w:rsidRPr="00262849">
        <w:rPr>
          <w:rFonts w:ascii="Arial" w:hAnsi="Arial" w:cs="Arial"/>
          <w:sz w:val="20"/>
          <w:szCs w:val="20"/>
        </w:rPr>
        <w:t>ejsou k dispozici detailní data o tom, kolik z evidovaných unikátních návštěvníků bylo registrovaných a kolik bylo anonymních. Pro návrh řešení je vhodné předpokládat, že řešení bude využívat počet anonymních uživatelů odpovídající počtu unikátních návštěvníků uvedených v prvním řádku tabulky.</w:t>
      </w:r>
    </w:p>
    <w:p w14:paraId="799359DB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9406C0D" w14:textId="1DA054DD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9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2ECC64DE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>Kolik aplikací a informačních systémů bude, alespoň odhadem, zahrnuto v budoucnu do aplikačního</w:t>
      </w:r>
    </w:p>
    <w:p w14:paraId="6977BBF6" w14:textId="7246649F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>?</w:t>
      </w:r>
    </w:p>
    <w:p w14:paraId="077DEDE4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24EB117C" w14:textId="6718C2FD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 xml:space="preserve">Předpokládaný rozvoj portálového </w:t>
      </w: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 xml:space="preserve"> je popsán ve studii „Koncepce rozvoje webových aplikací ŘO OP LZZ“, na kterou odkazuje i příloha č. 6 zadávací dokumentace. Tato studie je </w:t>
      </w:r>
      <w:r w:rsidR="002529A4">
        <w:rPr>
          <w:rFonts w:ascii="Arial" w:hAnsi="Arial" w:cs="Arial"/>
          <w:sz w:val="20"/>
          <w:szCs w:val="20"/>
          <w:lang w:eastAsia="x-none"/>
        </w:rPr>
        <w:t xml:space="preserve">veřejně </w:t>
      </w:r>
      <w:r w:rsidRPr="00262849">
        <w:rPr>
          <w:rFonts w:ascii="Arial" w:hAnsi="Arial" w:cs="Arial"/>
          <w:sz w:val="20"/>
          <w:szCs w:val="20"/>
          <w:lang w:eastAsia="x-none"/>
        </w:rPr>
        <w:t>dostupná na portálu ESFČR.cz (http://www.esfcr.cz/</w:t>
      </w: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folder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>/5038/).</w:t>
      </w:r>
    </w:p>
    <w:p w14:paraId="4FA7EEFF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4C7B538" w14:textId="1FFF7081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b/>
          <w:sz w:val="20"/>
          <w:szCs w:val="20"/>
          <w:lang w:eastAsia="x-none"/>
        </w:rPr>
        <w:t>Dotaz č. 10</w:t>
      </w:r>
      <w:r w:rsidRPr="00262849">
        <w:rPr>
          <w:rFonts w:ascii="Arial" w:hAnsi="Arial" w:cs="Arial"/>
          <w:sz w:val="20"/>
          <w:szCs w:val="20"/>
          <w:lang w:eastAsia="x-none"/>
        </w:rPr>
        <w:t>:</w:t>
      </w:r>
    </w:p>
    <w:p w14:paraId="0523A765" w14:textId="0C6DA714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262849">
        <w:rPr>
          <w:rFonts w:ascii="Arial" w:hAnsi="Arial" w:cs="Arial"/>
          <w:sz w:val="20"/>
          <w:szCs w:val="20"/>
          <w:lang w:eastAsia="x-none"/>
        </w:rPr>
        <w:t xml:space="preserve">Jaký je počet a výčet již známých aplikací a informačních systémů, které budou zahrnuty do aplikačního </w:t>
      </w:r>
      <w:proofErr w:type="spellStart"/>
      <w:r w:rsidRPr="00262849">
        <w:rPr>
          <w:rFonts w:ascii="Arial" w:hAnsi="Arial" w:cs="Arial"/>
          <w:sz w:val="20"/>
          <w:szCs w:val="20"/>
          <w:lang w:eastAsia="x-none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  <w:lang w:eastAsia="x-none"/>
        </w:rPr>
        <w:t xml:space="preserve"> při implementaci požadovaného IS?</w:t>
      </w:r>
    </w:p>
    <w:p w14:paraId="6C7FF02F" w14:textId="77777777" w:rsidR="00262849" w:rsidRPr="00262849" w:rsidRDefault="00262849" w:rsidP="0026284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  <w:lang w:eastAsia="x-none"/>
        </w:rPr>
      </w:pPr>
      <w:r w:rsidRPr="00262849">
        <w:rPr>
          <w:rFonts w:ascii="Arial" w:hAnsi="Arial" w:cs="Arial"/>
          <w:sz w:val="20"/>
          <w:szCs w:val="20"/>
          <w:u w:val="single"/>
          <w:lang w:eastAsia="x-none"/>
        </w:rPr>
        <w:t>Odpověď zadavatele:</w:t>
      </w:r>
    </w:p>
    <w:p w14:paraId="338585C2" w14:textId="253A1951" w:rsidR="00262849" w:rsidRPr="00262849" w:rsidRDefault="002529A4" w:rsidP="000F29B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k dotazu uchazeče uvádí, že v</w:t>
      </w:r>
      <w:r w:rsidR="00262849" w:rsidRPr="00262849">
        <w:rPr>
          <w:rFonts w:ascii="Arial" w:hAnsi="Arial" w:cs="Arial"/>
          <w:sz w:val="20"/>
          <w:szCs w:val="20"/>
        </w:rPr>
        <w:t xml:space="preserve"> blízké době, tedy pravděpodobně už v průběhu implementace systému IS ESF 2014+, je plánovaná příprava těchto aplikací, které budou provozovány v rámci portálového </w:t>
      </w:r>
      <w:proofErr w:type="spellStart"/>
      <w:r w:rsidR="00262849" w:rsidRPr="00262849">
        <w:rPr>
          <w:rFonts w:ascii="Arial" w:hAnsi="Arial" w:cs="Arial"/>
          <w:sz w:val="20"/>
          <w:szCs w:val="20"/>
        </w:rPr>
        <w:t>frameworku</w:t>
      </w:r>
      <w:proofErr w:type="spellEnd"/>
      <w:r w:rsidR="00262849" w:rsidRPr="00262849">
        <w:rPr>
          <w:rFonts w:ascii="Arial" w:hAnsi="Arial" w:cs="Arial"/>
          <w:sz w:val="20"/>
          <w:szCs w:val="20"/>
        </w:rPr>
        <w:t>:</w:t>
      </w:r>
    </w:p>
    <w:p w14:paraId="2469250A" w14:textId="77777777" w:rsidR="00262849" w:rsidRPr="00262849" w:rsidRDefault="00262849" w:rsidP="000F29BC">
      <w:pPr>
        <w:numPr>
          <w:ilvl w:val="0"/>
          <w:numId w:val="28"/>
        </w:numPr>
        <w:spacing w:before="120" w:after="120" w:line="320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>Informační web ESF (informační obsah stávajícího portálu www.esfcr.cz)</w:t>
      </w:r>
    </w:p>
    <w:p w14:paraId="70BEC7FF" w14:textId="77777777" w:rsidR="00262849" w:rsidRPr="00262849" w:rsidRDefault="00262849" w:rsidP="000F29BC">
      <w:pPr>
        <w:numPr>
          <w:ilvl w:val="0"/>
          <w:numId w:val="28"/>
        </w:numPr>
        <w:spacing w:before="120" w:after="120" w:line="320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 xml:space="preserve">Fórum ESF (nyní forum.esfcr.cz) </w:t>
      </w:r>
    </w:p>
    <w:p w14:paraId="620B79E5" w14:textId="77777777" w:rsidR="00262849" w:rsidRPr="00262849" w:rsidRDefault="00262849" w:rsidP="000F29BC">
      <w:pPr>
        <w:numPr>
          <w:ilvl w:val="0"/>
          <w:numId w:val="28"/>
        </w:numPr>
        <w:spacing w:before="120" w:after="120" w:line="320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>Databáze produktů (nyní esfdb.esfcr.cz)</w:t>
      </w:r>
    </w:p>
    <w:p w14:paraId="38FD4125" w14:textId="290FE340" w:rsidR="00262849" w:rsidRPr="00262849" w:rsidRDefault="00262849" w:rsidP="000F29B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 xml:space="preserve">Dále bude záviset na schopnosti a možnostech zvoleného </w:t>
      </w:r>
      <w:proofErr w:type="spellStart"/>
      <w:r w:rsidRPr="00262849">
        <w:rPr>
          <w:rFonts w:ascii="Arial" w:hAnsi="Arial" w:cs="Arial"/>
          <w:sz w:val="20"/>
          <w:szCs w:val="20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 poskytnout minimálně veškeré totožné funkcionality a komfort pro vývojáře i uživatele, které nabízí dosud využívané open-source aplikace pro řešení</w:t>
      </w:r>
      <w:r w:rsidR="002529A4">
        <w:rPr>
          <w:rFonts w:ascii="Arial" w:hAnsi="Arial" w:cs="Arial"/>
          <w:sz w:val="20"/>
          <w:szCs w:val="20"/>
        </w:rPr>
        <w:t>:</w:t>
      </w:r>
    </w:p>
    <w:p w14:paraId="6009F350" w14:textId="77777777" w:rsidR="00262849" w:rsidRPr="00262849" w:rsidRDefault="00262849" w:rsidP="000F29BC">
      <w:pPr>
        <w:numPr>
          <w:ilvl w:val="0"/>
          <w:numId w:val="28"/>
        </w:numPr>
        <w:spacing w:before="120" w:after="120" w:line="320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 xml:space="preserve">Interních databází a evidencí (aplikace </w:t>
      </w:r>
      <w:proofErr w:type="spellStart"/>
      <w:r w:rsidRPr="00262849">
        <w:rPr>
          <w:rFonts w:ascii="Arial" w:hAnsi="Arial" w:cs="Arial"/>
          <w:sz w:val="20"/>
          <w:szCs w:val="20"/>
        </w:rPr>
        <w:t>NUBuilder</w:t>
      </w:r>
      <w:proofErr w:type="spellEnd"/>
      <w:r w:rsidRPr="00262849">
        <w:rPr>
          <w:rFonts w:ascii="Arial" w:hAnsi="Arial" w:cs="Arial"/>
          <w:sz w:val="20"/>
          <w:szCs w:val="20"/>
        </w:rPr>
        <w:t>)</w:t>
      </w:r>
    </w:p>
    <w:p w14:paraId="78C83055" w14:textId="77777777" w:rsidR="00262849" w:rsidRDefault="00262849" w:rsidP="000F29BC">
      <w:pPr>
        <w:numPr>
          <w:ilvl w:val="0"/>
          <w:numId w:val="28"/>
        </w:numPr>
        <w:spacing w:before="120" w:after="120" w:line="320" w:lineRule="atLeast"/>
        <w:contextualSpacing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 xml:space="preserve">Aplikace pro průzkumy a dotazníky (aplikace </w:t>
      </w:r>
      <w:proofErr w:type="spellStart"/>
      <w:r w:rsidRPr="00262849">
        <w:rPr>
          <w:rFonts w:ascii="Arial" w:hAnsi="Arial" w:cs="Arial"/>
          <w:sz w:val="20"/>
          <w:szCs w:val="20"/>
        </w:rPr>
        <w:t>LimeSurvey</w:t>
      </w:r>
      <w:proofErr w:type="spellEnd"/>
      <w:r w:rsidRPr="00262849">
        <w:rPr>
          <w:rFonts w:ascii="Arial" w:hAnsi="Arial" w:cs="Arial"/>
          <w:sz w:val="20"/>
          <w:szCs w:val="20"/>
        </w:rPr>
        <w:t>)</w:t>
      </w:r>
    </w:p>
    <w:p w14:paraId="618DE0F8" w14:textId="77777777" w:rsidR="002529A4" w:rsidRPr="00262849" w:rsidRDefault="002529A4" w:rsidP="000F29BC">
      <w:pPr>
        <w:spacing w:before="120" w:after="120" w:line="320" w:lineRule="atLeast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330A5359" w14:textId="77777777" w:rsidR="00262849" w:rsidRPr="00262849" w:rsidRDefault="00262849" w:rsidP="000F29B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262849">
        <w:rPr>
          <w:rFonts w:ascii="Arial" w:hAnsi="Arial" w:cs="Arial"/>
          <w:sz w:val="20"/>
          <w:szCs w:val="20"/>
        </w:rPr>
        <w:t xml:space="preserve">Pakliže zvolený </w:t>
      </w:r>
      <w:proofErr w:type="spellStart"/>
      <w:r w:rsidRPr="00262849">
        <w:rPr>
          <w:rFonts w:ascii="Arial" w:hAnsi="Arial" w:cs="Arial"/>
          <w:sz w:val="20"/>
          <w:szCs w:val="20"/>
        </w:rPr>
        <w:t>framework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 nebude schopen nabídnout stejný komfort jako dosud využívané aplikace s širokou otevřenou vývojářskou komunitou, je třeba zvážit, jakým způsobem v rámci </w:t>
      </w:r>
      <w:proofErr w:type="spellStart"/>
      <w:r w:rsidRPr="00262849">
        <w:rPr>
          <w:rFonts w:ascii="Arial" w:hAnsi="Arial" w:cs="Arial"/>
          <w:sz w:val="20"/>
          <w:szCs w:val="20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 zprostředkovat alespoň některé funkcionality okolních aplikací (tj. </w:t>
      </w:r>
      <w:proofErr w:type="spellStart"/>
      <w:r w:rsidRPr="00262849">
        <w:rPr>
          <w:rFonts w:ascii="Arial" w:hAnsi="Arial" w:cs="Arial"/>
          <w:sz w:val="20"/>
          <w:szCs w:val="20"/>
        </w:rPr>
        <w:t>LimeSurvey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262849">
        <w:rPr>
          <w:rFonts w:ascii="Arial" w:hAnsi="Arial" w:cs="Arial"/>
          <w:sz w:val="20"/>
          <w:szCs w:val="20"/>
        </w:rPr>
        <w:t>NUBuilder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), např. jednotné správy uživatelských účtů (např. napojením na LDAP či obdobně). V průběhu provozu </w:t>
      </w:r>
      <w:proofErr w:type="spellStart"/>
      <w:r w:rsidRPr="00262849">
        <w:rPr>
          <w:rFonts w:ascii="Arial" w:hAnsi="Arial" w:cs="Arial"/>
          <w:sz w:val="20"/>
          <w:szCs w:val="20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</w:rPr>
        <w:t xml:space="preserve"> v příštích cca 9 letech pak nelze vyloučit nutnost poskytnout prostor pro zajištění některých dalších požadavků na samostatné weby (dnes např. na doméně Transnationality.eu, nebo předpokládaný web pro sociální inovace), nejlépe začleněné do sdíleného </w:t>
      </w:r>
      <w:proofErr w:type="spellStart"/>
      <w:r w:rsidRPr="00262849">
        <w:rPr>
          <w:rFonts w:ascii="Arial" w:hAnsi="Arial" w:cs="Arial"/>
          <w:sz w:val="20"/>
          <w:szCs w:val="20"/>
        </w:rPr>
        <w:t>frameworku</w:t>
      </w:r>
      <w:proofErr w:type="spellEnd"/>
      <w:r w:rsidRPr="00262849">
        <w:rPr>
          <w:rFonts w:ascii="Arial" w:hAnsi="Arial" w:cs="Arial"/>
          <w:sz w:val="20"/>
          <w:szCs w:val="20"/>
        </w:rPr>
        <w:t>. Vzhledem k tomu, že výše uvedené potřeby vznikly během programových období 2004-2006 a 2007-2013, je možné odhadnout, že v průběhu programového období 2014-2020 by neměl počet požadovaných aplikací přesáhnout dvojnásobek dnešního stavu.</w:t>
      </w:r>
    </w:p>
    <w:p w14:paraId="6DC574F1" w14:textId="77777777" w:rsidR="00262849" w:rsidRDefault="00262849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0E7F8C9" w14:textId="77777777" w:rsidR="002529A4" w:rsidRDefault="002529A4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56528235" w14:textId="320D4C08" w:rsidR="00307CCF" w:rsidRDefault="00262849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Zadavatel dále </w:t>
      </w:r>
      <w:r w:rsidR="00307CCF">
        <w:rPr>
          <w:rFonts w:ascii="Arial" w:hAnsi="Arial" w:cs="Arial"/>
          <w:sz w:val="20"/>
          <w:szCs w:val="20"/>
          <w:lang w:eastAsia="x-none"/>
        </w:rPr>
        <w:t>poskytuje dodavatelům dodatečné informace k zadávacím podmínkám bez předchozí žádosti</w:t>
      </w:r>
      <w:r w:rsidR="006204C1">
        <w:rPr>
          <w:rFonts w:ascii="Arial" w:hAnsi="Arial" w:cs="Arial"/>
          <w:sz w:val="20"/>
          <w:szCs w:val="20"/>
          <w:lang w:eastAsia="x-none"/>
        </w:rPr>
        <w:t xml:space="preserve"> dl</w:t>
      </w:r>
      <w:r w:rsidR="00962220">
        <w:rPr>
          <w:rFonts w:ascii="Arial" w:hAnsi="Arial" w:cs="Arial"/>
          <w:sz w:val="20"/>
          <w:szCs w:val="20"/>
          <w:lang w:eastAsia="x-none"/>
        </w:rPr>
        <w:t>e</w:t>
      </w:r>
      <w:r w:rsidR="006204C1">
        <w:rPr>
          <w:rFonts w:ascii="Arial" w:hAnsi="Arial" w:cs="Arial"/>
          <w:sz w:val="20"/>
          <w:szCs w:val="20"/>
          <w:lang w:eastAsia="x-none"/>
        </w:rPr>
        <w:t xml:space="preserve"> § 49 odst. 4 ZVZ</w:t>
      </w:r>
      <w:r w:rsidR="00307CCF">
        <w:rPr>
          <w:rFonts w:ascii="Arial" w:hAnsi="Arial" w:cs="Arial"/>
          <w:sz w:val="20"/>
          <w:szCs w:val="20"/>
          <w:lang w:eastAsia="x-none"/>
        </w:rPr>
        <w:t>.</w:t>
      </w:r>
    </w:p>
    <w:p w14:paraId="36CCF807" w14:textId="77777777" w:rsidR="00307CCF" w:rsidRDefault="00307CCF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0681764" w14:textId="40E9F68B" w:rsidR="008A6EF4" w:rsidRDefault="00307CCF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Předmětem těchto dodatečných informací je </w:t>
      </w:r>
      <w:r w:rsidR="002529A4">
        <w:rPr>
          <w:rFonts w:ascii="Arial" w:hAnsi="Arial" w:cs="Arial"/>
          <w:sz w:val="20"/>
          <w:szCs w:val="20"/>
          <w:lang w:eastAsia="x-none"/>
        </w:rPr>
        <w:t xml:space="preserve">rovněž </w:t>
      </w:r>
      <w:r w:rsidR="00BD08BC">
        <w:rPr>
          <w:rFonts w:ascii="Arial" w:hAnsi="Arial" w:cs="Arial"/>
          <w:sz w:val="20"/>
          <w:szCs w:val="20"/>
          <w:lang w:eastAsia="x-none"/>
        </w:rPr>
        <w:t>informace pro dodavatele o tom, že ve smyslu §</w:t>
      </w:r>
      <w:r w:rsidR="002529A4">
        <w:rPr>
          <w:rFonts w:ascii="Arial" w:hAnsi="Arial" w:cs="Arial"/>
          <w:sz w:val="20"/>
          <w:szCs w:val="20"/>
          <w:lang w:eastAsia="x-none"/>
        </w:rPr>
        <w:t> </w:t>
      </w:r>
      <w:r w:rsidR="00BD08BC">
        <w:rPr>
          <w:rFonts w:ascii="Arial" w:hAnsi="Arial" w:cs="Arial"/>
          <w:sz w:val="20"/>
          <w:szCs w:val="20"/>
          <w:lang w:eastAsia="x-none"/>
        </w:rPr>
        <w:t xml:space="preserve">40 odst. 3 ZVZ, došlo k úpravě zadávacích podmínek této veřejné zakázky, a to konkrétně k </w:t>
      </w:r>
      <w:r>
        <w:rPr>
          <w:rFonts w:ascii="Arial" w:hAnsi="Arial" w:cs="Arial"/>
          <w:sz w:val="20"/>
          <w:szCs w:val="20"/>
          <w:lang w:eastAsia="x-none"/>
        </w:rPr>
        <w:t>úprav</w:t>
      </w:r>
      <w:r w:rsidR="00BD08BC">
        <w:rPr>
          <w:rFonts w:ascii="Arial" w:hAnsi="Arial" w:cs="Arial"/>
          <w:sz w:val="20"/>
          <w:szCs w:val="20"/>
          <w:lang w:eastAsia="x-none"/>
        </w:rPr>
        <w:t>ě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="006204C1">
        <w:rPr>
          <w:rFonts w:ascii="Arial" w:hAnsi="Arial" w:cs="Arial"/>
          <w:sz w:val="20"/>
          <w:szCs w:val="20"/>
          <w:lang w:eastAsia="x-none"/>
        </w:rPr>
        <w:t xml:space="preserve">závazného vzoru smlouvy </w:t>
      </w:r>
      <w:r>
        <w:rPr>
          <w:rFonts w:ascii="Arial" w:hAnsi="Arial" w:cs="Arial"/>
          <w:sz w:val="20"/>
          <w:szCs w:val="20"/>
          <w:lang w:eastAsia="x-none"/>
        </w:rPr>
        <w:t>na plnění veřejné zakázky</w:t>
      </w:r>
      <w:r w:rsidR="006204C1">
        <w:rPr>
          <w:rFonts w:ascii="Arial" w:hAnsi="Arial" w:cs="Arial"/>
          <w:sz w:val="20"/>
          <w:szCs w:val="20"/>
          <w:lang w:eastAsia="x-none"/>
        </w:rPr>
        <w:t xml:space="preserve"> (dále jen „</w:t>
      </w:r>
      <w:r w:rsidR="006204C1" w:rsidRPr="006204C1">
        <w:rPr>
          <w:rFonts w:ascii="Arial" w:hAnsi="Arial" w:cs="Arial"/>
          <w:b/>
          <w:sz w:val="20"/>
          <w:szCs w:val="20"/>
          <w:lang w:eastAsia="x-none"/>
        </w:rPr>
        <w:t>Smlo</w:t>
      </w:r>
      <w:r w:rsidR="006204C1">
        <w:rPr>
          <w:rFonts w:ascii="Arial" w:hAnsi="Arial" w:cs="Arial"/>
          <w:b/>
          <w:sz w:val="20"/>
          <w:szCs w:val="20"/>
          <w:lang w:eastAsia="x-none"/>
        </w:rPr>
        <w:t>u</w:t>
      </w:r>
      <w:r w:rsidR="006204C1" w:rsidRPr="006204C1">
        <w:rPr>
          <w:rFonts w:ascii="Arial" w:hAnsi="Arial" w:cs="Arial"/>
          <w:b/>
          <w:sz w:val="20"/>
          <w:szCs w:val="20"/>
          <w:lang w:eastAsia="x-none"/>
        </w:rPr>
        <w:t>va</w:t>
      </w:r>
      <w:r w:rsidR="006204C1">
        <w:rPr>
          <w:rFonts w:ascii="Arial" w:hAnsi="Arial" w:cs="Arial"/>
          <w:sz w:val="20"/>
          <w:szCs w:val="20"/>
          <w:lang w:eastAsia="x-none"/>
        </w:rPr>
        <w:t>“)</w:t>
      </w:r>
      <w:r>
        <w:rPr>
          <w:rFonts w:ascii="Arial" w:hAnsi="Arial" w:cs="Arial"/>
          <w:sz w:val="20"/>
          <w:szCs w:val="20"/>
          <w:lang w:eastAsia="x-none"/>
        </w:rPr>
        <w:t xml:space="preserve">. Konsolidované znění </w:t>
      </w:r>
      <w:r w:rsidR="006204C1">
        <w:rPr>
          <w:rFonts w:ascii="Arial" w:hAnsi="Arial" w:cs="Arial"/>
          <w:sz w:val="20"/>
          <w:szCs w:val="20"/>
          <w:lang w:eastAsia="x-none"/>
        </w:rPr>
        <w:t>S</w:t>
      </w:r>
      <w:r>
        <w:rPr>
          <w:rFonts w:ascii="Arial" w:hAnsi="Arial" w:cs="Arial"/>
          <w:sz w:val="20"/>
          <w:szCs w:val="20"/>
          <w:lang w:eastAsia="x-none"/>
        </w:rPr>
        <w:t xml:space="preserve">mlouvy </w:t>
      </w:r>
      <w:r w:rsidR="00F60119">
        <w:rPr>
          <w:rFonts w:ascii="Arial" w:hAnsi="Arial" w:cs="Arial"/>
          <w:sz w:val="20"/>
          <w:szCs w:val="20"/>
          <w:lang w:eastAsia="x-none"/>
        </w:rPr>
        <w:t xml:space="preserve">včetně přílohy č. 6 zadávací dokumentace s názvem </w:t>
      </w:r>
      <w:r w:rsidR="00F60119" w:rsidRPr="00F60119">
        <w:rPr>
          <w:rFonts w:ascii="Arial" w:hAnsi="Arial" w:cs="Arial"/>
          <w:sz w:val="20"/>
          <w:szCs w:val="20"/>
          <w:lang w:eastAsia="x-none"/>
        </w:rPr>
        <w:t>Funkční a technické požadavky (</w:t>
      </w:r>
      <w:r w:rsidR="00F60119">
        <w:rPr>
          <w:rFonts w:ascii="Arial" w:hAnsi="Arial" w:cs="Arial"/>
          <w:sz w:val="20"/>
          <w:szCs w:val="20"/>
          <w:lang w:eastAsia="x-none"/>
        </w:rPr>
        <w:t xml:space="preserve">tvoří část přílohy č. 1 Smlouvy) </w:t>
      </w:r>
      <w:r>
        <w:rPr>
          <w:rFonts w:ascii="Arial" w:hAnsi="Arial" w:cs="Arial"/>
          <w:sz w:val="20"/>
          <w:szCs w:val="20"/>
          <w:lang w:eastAsia="x-none"/>
        </w:rPr>
        <w:t xml:space="preserve">tvoří přílohu č. 1 </w:t>
      </w:r>
      <w:r w:rsidR="00FB1B07">
        <w:rPr>
          <w:rFonts w:ascii="Arial" w:hAnsi="Arial" w:cs="Arial"/>
          <w:sz w:val="20"/>
          <w:szCs w:val="20"/>
          <w:lang w:eastAsia="x-none"/>
        </w:rPr>
        <w:t xml:space="preserve">a č. 2 </w:t>
      </w:r>
      <w:r>
        <w:rPr>
          <w:rFonts w:ascii="Arial" w:hAnsi="Arial" w:cs="Arial"/>
          <w:sz w:val="20"/>
          <w:szCs w:val="20"/>
          <w:lang w:eastAsia="x-none"/>
        </w:rPr>
        <w:t xml:space="preserve">těchto dodatečných informací. </w:t>
      </w:r>
    </w:p>
    <w:p w14:paraId="5497D903" w14:textId="77777777" w:rsidR="008A6EF4" w:rsidRDefault="008A6EF4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6F25097" w14:textId="21E1CBE8" w:rsidR="007D7AC5" w:rsidRDefault="007D7AC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S ohledem na uvedené se mění pří</w:t>
      </w:r>
      <w:r w:rsidR="00DF5417">
        <w:rPr>
          <w:rFonts w:ascii="Arial" w:hAnsi="Arial" w:cs="Arial"/>
          <w:sz w:val="20"/>
          <w:szCs w:val="20"/>
          <w:lang w:eastAsia="x-none"/>
        </w:rPr>
        <w:t>slušná</w:t>
      </w:r>
      <w:r>
        <w:rPr>
          <w:rFonts w:ascii="Arial" w:hAnsi="Arial" w:cs="Arial"/>
          <w:sz w:val="20"/>
          <w:szCs w:val="20"/>
          <w:lang w:eastAsia="x-none"/>
        </w:rPr>
        <w:t xml:space="preserve"> ustanovení zadávací dokumentace </w:t>
      </w:r>
      <w:r w:rsidR="007D2C68">
        <w:rPr>
          <w:rFonts w:ascii="Arial" w:hAnsi="Arial" w:cs="Arial"/>
          <w:sz w:val="20"/>
          <w:szCs w:val="20"/>
          <w:lang w:eastAsia="x-none"/>
        </w:rPr>
        <w:t xml:space="preserve">této veřejné zakázky </w:t>
      </w:r>
      <w:r>
        <w:rPr>
          <w:rFonts w:ascii="Arial" w:hAnsi="Arial" w:cs="Arial"/>
          <w:sz w:val="20"/>
          <w:szCs w:val="20"/>
          <w:lang w:eastAsia="x-none"/>
        </w:rPr>
        <w:t xml:space="preserve">a dále lhůta pro podání nabídek </w:t>
      </w:r>
      <w:r w:rsidR="004F2E22">
        <w:rPr>
          <w:rFonts w:ascii="Arial" w:hAnsi="Arial" w:cs="Arial"/>
          <w:sz w:val="20"/>
          <w:szCs w:val="20"/>
          <w:lang w:eastAsia="x-none"/>
        </w:rPr>
        <w:t>(</w:t>
      </w:r>
      <w:r>
        <w:rPr>
          <w:rFonts w:ascii="Arial" w:hAnsi="Arial" w:cs="Arial"/>
          <w:sz w:val="20"/>
          <w:szCs w:val="20"/>
          <w:lang w:eastAsia="x-none"/>
        </w:rPr>
        <w:t xml:space="preserve">a adekvátně též </w:t>
      </w:r>
      <w:r w:rsidR="0031507D">
        <w:rPr>
          <w:rFonts w:ascii="Arial" w:hAnsi="Arial" w:cs="Arial"/>
          <w:sz w:val="20"/>
          <w:szCs w:val="20"/>
          <w:lang w:eastAsia="x-none"/>
        </w:rPr>
        <w:t>termín</w:t>
      </w:r>
      <w:r>
        <w:rPr>
          <w:rFonts w:ascii="Arial" w:hAnsi="Arial" w:cs="Arial"/>
          <w:sz w:val="20"/>
          <w:szCs w:val="20"/>
          <w:lang w:eastAsia="x-none"/>
        </w:rPr>
        <w:t xml:space="preserve"> otevírání obálek s</w:t>
      </w:r>
      <w:r w:rsidR="004F2E22">
        <w:rPr>
          <w:rFonts w:ascii="Arial" w:hAnsi="Arial" w:cs="Arial"/>
          <w:sz w:val="20"/>
          <w:szCs w:val="20"/>
          <w:lang w:eastAsia="x-none"/>
        </w:rPr>
        <w:t> </w:t>
      </w:r>
      <w:r>
        <w:rPr>
          <w:rFonts w:ascii="Arial" w:hAnsi="Arial" w:cs="Arial"/>
          <w:sz w:val="20"/>
          <w:szCs w:val="20"/>
          <w:lang w:eastAsia="x-none"/>
        </w:rPr>
        <w:t>nabídkami</w:t>
      </w:r>
      <w:r w:rsidR="004F2E22">
        <w:rPr>
          <w:rFonts w:ascii="Arial" w:hAnsi="Arial" w:cs="Arial"/>
          <w:sz w:val="20"/>
          <w:szCs w:val="20"/>
          <w:lang w:eastAsia="x-none"/>
        </w:rPr>
        <w:t>)</w:t>
      </w:r>
      <w:r>
        <w:rPr>
          <w:rFonts w:ascii="Arial" w:hAnsi="Arial" w:cs="Arial"/>
          <w:sz w:val="20"/>
          <w:szCs w:val="20"/>
          <w:lang w:eastAsia="x-none"/>
        </w:rPr>
        <w:t>, a to následovně:</w:t>
      </w:r>
    </w:p>
    <w:p w14:paraId="01FFAD5E" w14:textId="77777777" w:rsidR="007D7AC5" w:rsidRDefault="007D7AC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55D7B7E" w14:textId="77FEEBB3" w:rsidR="007D7AC5" w:rsidRPr="0065328E" w:rsidRDefault="007D7AC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 w:rsidRPr="0065328E">
        <w:rPr>
          <w:rFonts w:ascii="Arial" w:hAnsi="Arial" w:cs="Arial"/>
          <w:i/>
          <w:sz w:val="20"/>
          <w:szCs w:val="20"/>
          <w:lang w:eastAsia="x-none"/>
        </w:rPr>
        <w:t>15.</w:t>
      </w:r>
      <w:r w:rsidRPr="0065328E">
        <w:rPr>
          <w:rFonts w:ascii="Arial" w:hAnsi="Arial" w:cs="Arial"/>
          <w:i/>
          <w:sz w:val="20"/>
          <w:szCs w:val="20"/>
          <w:lang w:eastAsia="x-none"/>
        </w:rPr>
        <w:tab/>
        <w:t xml:space="preserve">LHŮTA, MÍSTO A ZPŮSOB PRO PODÁNÍ NABÍDEK </w:t>
      </w:r>
    </w:p>
    <w:p w14:paraId="48AA8FF8" w14:textId="77777777" w:rsidR="007D7AC5" w:rsidRPr="0065328E" w:rsidRDefault="007D7AC5" w:rsidP="0065328E">
      <w:pPr>
        <w:spacing w:line="320" w:lineRule="atLeast"/>
        <w:ind w:right="-108"/>
        <w:jc w:val="both"/>
        <w:rPr>
          <w:rFonts w:ascii="Arial" w:hAnsi="Arial" w:cs="Arial"/>
          <w:b/>
          <w:i/>
          <w:sz w:val="20"/>
          <w:szCs w:val="20"/>
        </w:rPr>
      </w:pPr>
    </w:p>
    <w:p w14:paraId="2B638F35" w14:textId="77777777" w:rsidR="007D7AC5" w:rsidRPr="0065328E" w:rsidRDefault="007D7AC5" w:rsidP="0065328E">
      <w:pPr>
        <w:spacing w:line="320" w:lineRule="atLeast"/>
        <w:ind w:right="-108"/>
        <w:jc w:val="both"/>
        <w:rPr>
          <w:rFonts w:ascii="Arial" w:hAnsi="Arial" w:cs="Arial"/>
          <w:b/>
          <w:i/>
          <w:sz w:val="20"/>
          <w:szCs w:val="20"/>
        </w:rPr>
      </w:pPr>
      <w:r w:rsidRPr="0065328E">
        <w:rPr>
          <w:rFonts w:ascii="Arial" w:hAnsi="Arial" w:cs="Arial"/>
          <w:b/>
          <w:i/>
          <w:sz w:val="20"/>
          <w:szCs w:val="20"/>
        </w:rPr>
        <w:t xml:space="preserve">Lhůta pro podání nabídek: </w:t>
      </w:r>
    </w:p>
    <w:p w14:paraId="2579A5AB" w14:textId="77777777" w:rsidR="007D7AC5" w:rsidRPr="0065328E" w:rsidRDefault="007D7AC5" w:rsidP="0065328E">
      <w:pPr>
        <w:spacing w:line="320" w:lineRule="atLeast"/>
        <w:ind w:right="-108" w:firstLine="708"/>
        <w:jc w:val="both"/>
        <w:rPr>
          <w:rFonts w:ascii="Arial" w:hAnsi="Arial" w:cs="Arial"/>
          <w:i/>
          <w:sz w:val="20"/>
          <w:szCs w:val="20"/>
        </w:rPr>
      </w:pPr>
    </w:p>
    <w:p w14:paraId="46D55A8D" w14:textId="32592B60" w:rsidR="007D7AC5" w:rsidRPr="0065328E" w:rsidRDefault="007D7AC5" w:rsidP="0065328E">
      <w:pPr>
        <w:spacing w:line="320" w:lineRule="atLeast"/>
        <w:ind w:right="-108" w:firstLine="708"/>
        <w:jc w:val="both"/>
        <w:rPr>
          <w:rFonts w:ascii="Arial" w:hAnsi="Arial" w:cs="Arial"/>
          <w:b/>
          <w:i/>
          <w:sz w:val="20"/>
          <w:szCs w:val="20"/>
        </w:rPr>
      </w:pPr>
      <w:r w:rsidRPr="0065328E">
        <w:rPr>
          <w:rFonts w:ascii="Arial" w:hAnsi="Arial" w:cs="Arial"/>
          <w:b/>
          <w:i/>
          <w:sz w:val="20"/>
          <w:szCs w:val="20"/>
        </w:rPr>
        <w:t>Datum:</w:t>
      </w:r>
      <w:r w:rsidRPr="0065328E">
        <w:rPr>
          <w:rFonts w:ascii="Arial" w:hAnsi="Arial" w:cs="Arial"/>
          <w:b/>
          <w:i/>
          <w:sz w:val="20"/>
          <w:szCs w:val="20"/>
        </w:rPr>
        <w:tab/>
      </w:r>
      <w:r w:rsidRPr="0065328E">
        <w:rPr>
          <w:rFonts w:ascii="Arial" w:hAnsi="Arial" w:cs="Arial"/>
          <w:b/>
          <w:i/>
          <w:sz w:val="20"/>
          <w:szCs w:val="20"/>
        </w:rPr>
        <w:tab/>
      </w:r>
      <w:r w:rsidR="000F104B">
        <w:rPr>
          <w:rFonts w:ascii="Arial" w:hAnsi="Arial" w:cs="Arial"/>
          <w:b/>
          <w:i/>
          <w:sz w:val="20"/>
          <w:szCs w:val="20"/>
        </w:rPr>
        <w:t>15</w:t>
      </w:r>
      <w:r w:rsidRPr="0065328E">
        <w:rPr>
          <w:rFonts w:ascii="Arial" w:hAnsi="Arial" w:cs="Arial"/>
          <w:b/>
          <w:i/>
          <w:sz w:val="20"/>
          <w:szCs w:val="20"/>
        </w:rPr>
        <w:t>.</w:t>
      </w:r>
      <w:r w:rsidR="00A312A8">
        <w:rPr>
          <w:rFonts w:ascii="Arial" w:hAnsi="Arial" w:cs="Arial"/>
          <w:b/>
          <w:i/>
          <w:sz w:val="20"/>
          <w:szCs w:val="20"/>
        </w:rPr>
        <w:t xml:space="preserve"> </w:t>
      </w:r>
      <w:r w:rsidR="00D96828" w:rsidRPr="0065328E">
        <w:rPr>
          <w:rFonts w:ascii="Arial" w:hAnsi="Arial" w:cs="Arial"/>
          <w:b/>
          <w:i/>
          <w:sz w:val="20"/>
          <w:szCs w:val="20"/>
        </w:rPr>
        <w:t>4</w:t>
      </w:r>
      <w:r w:rsidRPr="0065328E">
        <w:rPr>
          <w:rFonts w:ascii="Arial" w:hAnsi="Arial" w:cs="Arial"/>
          <w:b/>
          <w:i/>
          <w:sz w:val="20"/>
          <w:szCs w:val="20"/>
        </w:rPr>
        <w:t>.</w:t>
      </w:r>
      <w:r w:rsidR="00A312A8">
        <w:rPr>
          <w:rFonts w:ascii="Arial" w:hAnsi="Arial" w:cs="Arial"/>
          <w:b/>
          <w:i/>
          <w:sz w:val="20"/>
          <w:szCs w:val="20"/>
        </w:rPr>
        <w:t xml:space="preserve"> </w:t>
      </w:r>
      <w:r w:rsidRPr="0065328E">
        <w:rPr>
          <w:rFonts w:ascii="Arial" w:hAnsi="Arial" w:cs="Arial"/>
          <w:b/>
          <w:i/>
          <w:sz w:val="20"/>
          <w:szCs w:val="20"/>
        </w:rPr>
        <w:t>2014</w:t>
      </w:r>
      <w:r w:rsidRPr="0065328E">
        <w:rPr>
          <w:rFonts w:ascii="Arial" w:hAnsi="Arial" w:cs="Arial"/>
          <w:i/>
          <w:sz w:val="20"/>
          <w:szCs w:val="20"/>
        </w:rPr>
        <w:tab/>
      </w:r>
      <w:r w:rsidR="00A312A8">
        <w:rPr>
          <w:rFonts w:ascii="Arial" w:hAnsi="Arial" w:cs="Arial"/>
          <w:i/>
          <w:sz w:val="20"/>
          <w:szCs w:val="20"/>
        </w:rPr>
        <w:tab/>
      </w:r>
      <w:r w:rsidRPr="0065328E">
        <w:rPr>
          <w:rFonts w:ascii="Arial" w:hAnsi="Arial" w:cs="Arial"/>
          <w:b/>
          <w:i/>
          <w:sz w:val="20"/>
          <w:szCs w:val="20"/>
        </w:rPr>
        <w:t xml:space="preserve">Hodina: 10:00 </w:t>
      </w:r>
    </w:p>
    <w:p w14:paraId="2B2636D3" w14:textId="16D7B605" w:rsidR="00DC19C8" w:rsidRDefault="00DC19C8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0F9F044D" w14:textId="77777777" w:rsidR="00F93525" w:rsidRDefault="00F93525" w:rsidP="0065328E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0AB937F9" w14:textId="23E1015F" w:rsidR="00A05A85" w:rsidRDefault="00F60119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V ostatním zůstávají zadávací podmínky nezměněny.</w:t>
      </w:r>
    </w:p>
    <w:p w14:paraId="3513F88E" w14:textId="77777777" w:rsidR="00A05A85" w:rsidRPr="0065328E" w:rsidRDefault="00A05A85" w:rsidP="0065328E">
      <w:pPr>
        <w:spacing w:line="320" w:lineRule="atLeast"/>
        <w:jc w:val="both"/>
        <w:rPr>
          <w:rFonts w:ascii="Arial" w:hAnsi="Arial" w:cs="Arial"/>
          <w:i/>
          <w:sz w:val="20"/>
          <w:szCs w:val="20"/>
          <w:lang w:eastAsia="x-none"/>
        </w:rPr>
      </w:pPr>
    </w:p>
    <w:p w14:paraId="0FDF9F10" w14:textId="77777777" w:rsidR="00886EB0" w:rsidRDefault="00886EB0" w:rsidP="00A31705">
      <w:pPr>
        <w:rPr>
          <w:rFonts w:ascii="Arial" w:hAnsi="Arial" w:cs="Arial"/>
          <w:sz w:val="20"/>
          <w:szCs w:val="20"/>
        </w:rPr>
      </w:pPr>
    </w:p>
    <w:p w14:paraId="10E5E788" w14:textId="77777777" w:rsidR="00886EB0" w:rsidRDefault="00886EB0" w:rsidP="00A31705">
      <w:pPr>
        <w:rPr>
          <w:rFonts w:ascii="Arial" w:hAnsi="Arial" w:cs="Arial"/>
          <w:sz w:val="20"/>
          <w:szCs w:val="20"/>
        </w:rPr>
      </w:pPr>
    </w:p>
    <w:p w14:paraId="5EF00127" w14:textId="02CF4DB0" w:rsidR="00886EB0" w:rsidRDefault="00886EB0" w:rsidP="00A31705">
      <w:pPr>
        <w:rPr>
          <w:rFonts w:ascii="Arial" w:hAnsi="Arial" w:cs="Arial"/>
          <w:sz w:val="20"/>
          <w:szCs w:val="20"/>
        </w:rPr>
      </w:pPr>
      <w:r w:rsidRPr="000F29BC">
        <w:rPr>
          <w:rFonts w:ascii="Arial" w:hAnsi="Arial" w:cs="Arial"/>
          <w:sz w:val="20"/>
          <w:szCs w:val="20"/>
        </w:rPr>
        <w:t xml:space="preserve">V Praze dne </w:t>
      </w:r>
      <w:r w:rsidR="000F104B" w:rsidRPr="000F29BC">
        <w:rPr>
          <w:rFonts w:ascii="Arial" w:hAnsi="Arial" w:cs="Arial"/>
          <w:sz w:val="20"/>
          <w:szCs w:val="20"/>
        </w:rPr>
        <w:t>24</w:t>
      </w:r>
      <w:r w:rsidRPr="000F29BC">
        <w:rPr>
          <w:rFonts w:ascii="Arial" w:hAnsi="Arial" w:cs="Arial"/>
          <w:sz w:val="20"/>
          <w:szCs w:val="20"/>
        </w:rPr>
        <w:t>. února 2014</w:t>
      </w:r>
    </w:p>
    <w:p w14:paraId="16E4CEDB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B976BA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Default="00331330" w:rsidP="00A31705">
      <w:pPr>
        <w:rPr>
          <w:rFonts w:ascii="Arial" w:hAnsi="Arial" w:cs="Arial"/>
          <w:sz w:val="20"/>
          <w:szCs w:val="20"/>
        </w:rPr>
      </w:pPr>
    </w:p>
    <w:p w14:paraId="24D4A2E2" w14:textId="77777777" w:rsidR="00F60119" w:rsidRDefault="006204C1" w:rsidP="001D5F52">
      <w:pPr>
        <w:rPr>
          <w:rFonts w:ascii="Arial" w:hAnsi="Arial" w:cs="Arial"/>
          <w:b/>
          <w:sz w:val="20"/>
          <w:szCs w:val="20"/>
        </w:rPr>
      </w:pPr>
      <w:r w:rsidRPr="00EB70BF">
        <w:rPr>
          <w:rFonts w:ascii="Arial" w:hAnsi="Arial" w:cs="Arial"/>
          <w:b/>
          <w:sz w:val="20"/>
          <w:szCs w:val="20"/>
        </w:rPr>
        <w:t xml:space="preserve">Příloha č. 1 – Závazný vzor smlouvy </w:t>
      </w:r>
    </w:p>
    <w:p w14:paraId="419D0EAB" w14:textId="41DF46D1" w:rsidR="00331330" w:rsidRPr="00EB70BF" w:rsidRDefault="00F60119" w:rsidP="001D5F5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2 - Příloha č. 6 zadávací dokumentace s názvem „</w:t>
      </w:r>
      <w:r w:rsidRPr="004F75B1">
        <w:rPr>
          <w:rFonts w:ascii="Arial" w:hAnsi="Arial" w:cs="Arial"/>
          <w:b/>
          <w:i/>
          <w:sz w:val="20"/>
          <w:szCs w:val="20"/>
        </w:rPr>
        <w:t>Funkční a technické požadavky</w:t>
      </w:r>
      <w:r>
        <w:rPr>
          <w:rFonts w:ascii="Arial" w:hAnsi="Arial" w:cs="Arial"/>
          <w:b/>
          <w:sz w:val="20"/>
          <w:szCs w:val="20"/>
        </w:rPr>
        <w:t>“</w:t>
      </w:r>
      <w:r w:rsidR="00FB1B07">
        <w:rPr>
          <w:rFonts w:ascii="Arial" w:hAnsi="Arial" w:cs="Arial"/>
          <w:b/>
          <w:sz w:val="20"/>
          <w:szCs w:val="20"/>
        </w:rPr>
        <w:t xml:space="preserve"> (část přílohy č. 1 závazného vzoru smlouvy) 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F8C9C0" w14:textId="77777777" w:rsidR="00710128" w:rsidRDefault="00710128">
      <w:r>
        <w:separator/>
      </w:r>
    </w:p>
  </w:endnote>
  <w:endnote w:type="continuationSeparator" w:id="0">
    <w:p w14:paraId="007A7356" w14:textId="77777777" w:rsidR="00710128" w:rsidRDefault="00710128">
      <w:r>
        <w:continuationSeparator/>
      </w:r>
    </w:p>
  </w:endnote>
  <w:endnote w:type="continuationNotice" w:id="1">
    <w:p w14:paraId="5198667A" w14:textId="77777777" w:rsidR="00710128" w:rsidRDefault="00710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8D723D" w:rsidRDefault="008D72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8D723D" w:rsidRPr="00CB3734" w:rsidRDefault="008D723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33B0C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33B0C">
      <w:rPr>
        <w:rStyle w:val="slostrnky"/>
        <w:rFonts w:ascii="Arial" w:hAnsi="Arial" w:cs="Arial"/>
        <w:noProof/>
        <w:sz w:val="20"/>
        <w:szCs w:val="20"/>
      </w:rPr>
      <w:t>5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4426B" w14:textId="77777777" w:rsidR="00710128" w:rsidRDefault="00710128">
      <w:r>
        <w:separator/>
      </w:r>
    </w:p>
  </w:footnote>
  <w:footnote w:type="continuationSeparator" w:id="0">
    <w:p w14:paraId="6C934830" w14:textId="77777777" w:rsidR="00710128" w:rsidRDefault="00710128">
      <w:r>
        <w:continuationSeparator/>
      </w:r>
    </w:p>
  </w:footnote>
  <w:footnote w:type="continuationNotice" w:id="1">
    <w:p w14:paraId="24C637BE" w14:textId="77777777" w:rsidR="00710128" w:rsidRDefault="007101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2"/>
  </w:num>
  <w:num w:numId="4">
    <w:abstractNumId w:val="10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3"/>
  </w:num>
  <w:num w:numId="11">
    <w:abstractNumId w:val="5"/>
  </w:num>
  <w:num w:numId="12">
    <w:abstractNumId w:val="9"/>
  </w:num>
  <w:num w:numId="13">
    <w:abstractNumId w:val="13"/>
  </w:num>
  <w:num w:numId="14">
    <w:abstractNumId w:val="22"/>
  </w:num>
  <w:num w:numId="15">
    <w:abstractNumId w:val="21"/>
  </w:num>
  <w:num w:numId="16">
    <w:abstractNumId w:val="16"/>
  </w:num>
  <w:num w:numId="17">
    <w:abstractNumId w:val="0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7"/>
  </w:num>
  <w:num w:numId="21">
    <w:abstractNumId w:val="11"/>
  </w:num>
  <w:num w:numId="22">
    <w:abstractNumId w:val="14"/>
  </w:num>
  <w:num w:numId="23">
    <w:abstractNumId w:val="24"/>
  </w:num>
  <w:num w:numId="24">
    <w:abstractNumId w:val="7"/>
  </w:num>
  <w:num w:numId="25">
    <w:abstractNumId w:val="6"/>
  </w:num>
  <w:num w:numId="26">
    <w:abstractNumId w:val="18"/>
  </w:num>
  <w:num w:numId="27">
    <w:abstractNumId w:val="20"/>
  </w:num>
  <w:num w:numId="28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276A"/>
    <w:rsid w:val="000428C5"/>
    <w:rsid w:val="00064C5D"/>
    <w:rsid w:val="00070DF4"/>
    <w:rsid w:val="00072205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5853"/>
    <w:rsid w:val="00145970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274"/>
    <w:rsid w:val="005F6D73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10128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F4587"/>
    <w:rsid w:val="009F4A48"/>
    <w:rsid w:val="009F5DC3"/>
    <w:rsid w:val="009F73A5"/>
    <w:rsid w:val="00A05A85"/>
    <w:rsid w:val="00A07FB6"/>
    <w:rsid w:val="00A1575A"/>
    <w:rsid w:val="00A23C70"/>
    <w:rsid w:val="00A27E39"/>
    <w:rsid w:val="00A312A8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30EF1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3B0C"/>
    <w:rsid w:val="00D60D8C"/>
    <w:rsid w:val="00D64139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38A9"/>
    <w:rsid w:val="00DF5417"/>
    <w:rsid w:val="00E0214A"/>
    <w:rsid w:val="00E021F4"/>
    <w:rsid w:val="00E0534D"/>
    <w:rsid w:val="00E103FE"/>
    <w:rsid w:val="00E14591"/>
    <w:rsid w:val="00E26871"/>
    <w:rsid w:val="00E30AC8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6508"/>
    <w:rsid w:val="00F11D5A"/>
    <w:rsid w:val="00F268B4"/>
    <w:rsid w:val="00F52FB4"/>
    <w:rsid w:val="00F5705D"/>
    <w:rsid w:val="00F576B1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7DAA"/>
    <w:rsid w:val="00FC2F78"/>
    <w:rsid w:val="00FD7EBA"/>
    <w:rsid w:val="00FE1B6E"/>
    <w:rsid w:val="00FE1D0D"/>
    <w:rsid w:val="00FE55B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62849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62849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p+AAbukFc5F1pMxikk5atIYWl3E=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DfCla1DzK/0PvwtnZqylJ4OIgZY=</DigestValue>
    </Reference>
  </SignedInfo>
  <SignatureValue>bxduV4bY7V0OHOiZiFMhWpfs5K4DV1h4BkegwZI0RjP0Ogn0ZEaRXA9wKWK0hyoYNw7XhujYbJme
rIGM0/1LnNGx+k2hjDV0J82wV6sjWlH3opgRLcBApEWgS3ycH7IcodIDO5pvOYt9+AoYItaeibB+
1WCedqYoZ32ZV7N57DVkv+0zW7SO2ZrbxSsso2T936WuSiq5xa4Xfm7zmsHnIfJ30GvDfp3XRMv8
qfDwKphyvTNlJmwuG2DJIsJ8JlADyq0BjMlfx7IHs2jBeUZCs2suHWmoaFHeWTCjATw4faIgs5tb
kPoWoVvT/1eXjgo1Jss0kUNeVeAJT4ueZuZ7Aw==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webSettings.xml?ContentType=application/vnd.openxmlformats-officedocument.wordprocessingml.webSettings+xml">
        <DigestMethod Algorithm="http://www.w3.org/2000/09/xmldsig#sha1"/>
        <DigestValue>5piH5t8Y/1O9ey8KPVgpHXcJ8qM=</DigestValue>
      </Reference>
      <Reference URI="/word/footer2.xml?ContentType=application/vnd.openxmlformats-officedocument.wordprocessingml.footer+xml">
        <DigestMethod Algorithm="http://www.w3.org/2000/09/xmldsig#sha1"/>
        <DigestValue>jPA5nQfIhFszyQzDvrkauR1i1pU=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Lua22Lzr1MT2C+zJeGsLEozPfbU=</DigestValue>
      </Reference>
      <Reference URI="/word/numbering.xml?ContentType=application/vnd.openxmlformats-officedocument.wordprocessingml.numbering+xml">
        <DigestMethod Algorithm="http://www.w3.org/2000/09/xmldsig#sha1"/>
        <DigestValue>4JrTq3K780Ns71AdBNk+TtdlinQ=</DigestValue>
      </Reference>
      <Reference URI="/word/header2.xml?ContentType=application/vnd.openxmlformats-officedocument.wordprocessingml.header+xml">
        <DigestMethod Algorithm="http://www.w3.org/2000/09/xmldsig#sha1"/>
        <DigestValue>l5yGkzAu2WlZnM9BqEbfk8cONU0=</DigestValue>
      </Reference>
      <Reference URI="/word/header1.xml?ContentType=application/vnd.openxmlformats-officedocument.wordprocessingml.header+xml">
        <DigestMethod Algorithm="http://www.w3.org/2000/09/xmldsig#sha1"/>
        <DigestValue>Bid0NAEae5qC7IykbMydoi35H+o=</DigestValue>
      </Reference>
      <Reference URI="/word/document.xml?ContentType=application/vnd.openxmlformats-officedocument.wordprocessingml.document.main+xml">
        <DigestMethod Algorithm="http://www.w3.org/2000/09/xmldsig#sha1"/>
        <DigestValue>aTKbfonugI99J+arHCn43t6oQV8=</DigestValue>
      </Reference>
      <Reference URI="/word/stylesWithEffects.xml?ContentType=application/vnd.ms-word.stylesWithEffects+xml">
        <DigestMethod Algorithm="http://www.w3.org/2000/09/xmldsig#sha1"/>
        <DigestValue>ugeQyURu1RCE6Q6wr/f11PAZ+4s=</DigestValue>
      </Reference>
      <Reference URI="/word/endnotes.xml?ContentType=application/vnd.openxmlformats-officedocument.wordprocessingml.endnotes+xml">
        <DigestMethod Algorithm="http://www.w3.org/2000/09/xmldsig#sha1"/>
        <DigestValue>gLIZXObzHhMVU2qHHwecpyK+ldw=</DigestValue>
      </Reference>
      <Reference URI="/word/footnotes.xml?ContentType=application/vnd.openxmlformats-officedocument.wordprocessingml.footnotes+xml">
        <DigestMethod Algorithm="http://www.w3.org/2000/09/xmldsig#sha1"/>
        <DigestValue>ZMfd84LnQk1iZZVfP662MmJbgZQ=</DigestValue>
      </Reference>
      <Reference URI="/word/footer1.xml?ContentType=application/vnd.openxmlformats-officedocument.wordprocessingml.footer+xml">
        <DigestMethod Algorithm="http://www.w3.org/2000/09/xmldsig#sha1"/>
        <DigestValue>fvjCqJYry3QXdK+sjEF47W05hpE=</DigestValue>
      </Reference>
      <Reference URI="/word/styles.xml?ContentType=application/vnd.openxmlformats-officedocument.wordprocessingml.styles+xml">
        <DigestMethod Algorithm="http://www.w3.org/2000/09/xmldsig#sha1"/>
        <DigestValue>QPAk5Yz/y3ll6Gj9dDg9W1FX9O8=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2014-02-24T14:19:00Z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2014-02-24T14:19:00Z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4085a4f5-5f40-4143-b221-75ee5dde648a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5e6c6c5c-474c-4ef7-b7d6-59a0e77cc256"/>
    <ds:schemaRef ds:uri="http://purl.org/dc/elements/1.1/"/>
    <ds:schemaRef ds:uri="8662c659-72ab-411b-b755-fbef5cbbde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58EE4-0886-4743-8764-A90EAA9C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875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6205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21</cp:revision>
  <cp:lastPrinted>2014-02-24T14:17:00Z</cp:lastPrinted>
  <dcterms:created xsi:type="dcterms:W3CDTF">2014-02-14T13:44:00Z</dcterms:created>
  <dcterms:modified xsi:type="dcterms:W3CDTF">2014-02-24T14:19:00Z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